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21E6" w:rsidRDefault="00CC21E6">
      <w:pPr>
        <w:spacing w:line="240" w:lineRule="auto"/>
      </w:pPr>
    </w:p>
    <w:p w14:paraId="00000002" w14:textId="0372F5A8" w:rsidR="00CC21E6" w:rsidRDefault="007A180E">
      <w:pPr>
        <w:spacing w:line="240" w:lineRule="auto"/>
        <w:rPr>
          <w:rFonts w:ascii="Arial" w:eastAsia="Arial" w:hAnsi="Arial" w:cs="Arial"/>
          <w:b/>
          <w:bCs/>
          <w:sz w:val="28"/>
          <w:szCs w:val="28"/>
        </w:rPr>
      </w:pPr>
      <w:r>
        <w:rPr>
          <w:rFonts w:ascii="Arial" w:eastAsia="Arial" w:hAnsi="Arial" w:cs="Arial"/>
          <w:b/>
          <w:bCs/>
          <w:sz w:val="28"/>
          <w:szCs w:val="28"/>
        </w:rPr>
        <w:t>Purpose</w:t>
      </w:r>
    </w:p>
    <w:p w14:paraId="00000003" w14:textId="77777777" w:rsidR="00CC21E6" w:rsidRDefault="007D4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Oophorectomies are performed for multiple reasons including gene mutation, hormone suppression therapy, cysts, gender dysphoria, endometriosis, and several types of ovarian cancers. Tumor most likely will arrive fresh and may have a request for frozen section diagnosis.  Fallopian tubes and sometimes the uterus with cervix may be received attached.</w:t>
      </w:r>
    </w:p>
    <w:p w14:paraId="29EE402F" w14:textId="77777777" w:rsidR="007A180E" w:rsidRDefault="007A180E">
      <w:pPr>
        <w:pBdr>
          <w:top w:val="nil"/>
          <w:left w:val="nil"/>
          <w:bottom w:val="nil"/>
          <w:right w:val="nil"/>
          <w:between w:val="nil"/>
        </w:pBdr>
        <w:spacing w:line="240" w:lineRule="auto"/>
        <w:rPr>
          <w:rFonts w:ascii="Arial" w:eastAsia="Arial" w:hAnsi="Arial" w:cs="Arial"/>
          <w:b/>
          <w:bCs/>
          <w:color w:val="000000"/>
          <w:sz w:val="28"/>
          <w:szCs w:val="28"/>
        </w:rPr>
      </w:pPr>
    </w:p>
    <w:p w14:paraId="00000004" w14:textId="2FC4BF5E" w:rsidR="00CC21E6" w:rsidRDefault="007D4CCC">
      <w:pPr>
        <w:pBdr>
          <w:top w:val="nil"/>
          <w:left w:val="nil"/>
          <w:bottom w:val="nil"/>
          <w:right w:val="nil"/>
          <w:between w:val="nil"/>
        </w:pBdr>
        <w:spacing w:line="240" w:lineRule="auto"/>
        <w:rPr>
          <w:rFonts w:ascii="Arial" w:eastAsia="Arial" w:hAnsi="Arial" w:cs="Arial"/>
          <w:b/>
          <w:bCs/>
          <w:color w:val="000000"/>
          <w:sz w:val="28"/>
          <w:szCs w:val="28"/>
        </w:rPr>
      </w:pPr>
      <w:r>
        <w:rPr>
          <w:rFonts w:ascii="Arial" w:eastAsia="Arial" w:hAnsi="Arial" w:cs="Arial"/>
          <w:b/>
          <w:bCs/>
          <w:color w:val="000000"/>
          <w:sz w:val="28"/>
          <w:szCs w:val="28"/>
        </w:rPr>
        <w:t xml:space="preserve">Procedure </w:t>
      </w:r>
    </w:p>
    <w:p w14:paraId="00000005" w14:textId="77777777" w:rsidR="00CC21E6" w:rsidRDefault="007D4CCC">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 ovarian mass</w:t>
      </w:r>
    </w:p>
    <w:p w14:paraId="00000006"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Photograph the specimen.</w:t>
      </w:r>
    </w:p>
    <w:p w14:paraId="00000007"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Remove the affected adnexa if still attached to uterus.</w:t>
      </w:r>
    </w:p>
    <w:p w14:paraId="00000008"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the entire mass and measure in 3 dimensions.</w:t>
      </w:r>
    </w:p>
    <w:p w14:paraId="00000009"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 the external surface for evidence of rupture, adhesions, and tumor excrescences.</w:t>
      </w:r>
    </w:p>
    <w:p w14:paraId="0000000A" w14:textId="33F7524D"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Ink the outer ovarian surface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evaluate for the presence or absence of surface involvement or previous rupture on microscopic review. This is important for staging. </w:t>
      </w:r>
      <w:r w:rsidR="0076198E">
        <w:rPr>
          <w:rFonts w:ascii="Times New Roman" w:eastAsia="Times New Roman" w:hAnsi="Times New Roman" w:cs="Times New Roman"/>
          <w:color w:val="000000"/>
          <w:sz w:val="24"/>
          <w:szCs w:val="24"/>
        </w:rPr>
        <w:t>Without ink, it may be impossible to distinguish the inner vs outer surface of a cystic lesion.</w:t>
      </w:r>
      <w:r>
        <w:rPr>
          <w:rFonts w:ascii="Times New Roman" w:eastAsia="Times New Roman" w:hAnsi="Times New Roman" w:cs="Times New Roman"/>
          <w:color w:val="000000"/>
          <w:sz w:val="24"/>
          <w:szCs w:val="24"/>
        </w:rPr>
        <w:t xml:space="preserve"> </w:t>
      </w:r>
      <w:r w:rsidRPr="007A180E">
        <w:rPr>
          <w:rFonts w:ascii="Times New Roman" w:eastAsia="Times New Roman" w:hAnsi="Times New Roman" w:cs="Times New Roman"/>
          <w:i/>
          <w:iCs/>
          <w:color w:val="000000"/>
          <w:sz w:val="24"/>
          <w:szCs w:val="24"/>
        </w:rPr>
        <w:t>Note</w:t>
      </w:r>
      <w:sdt>
        <w:sdtPr>
          <w:tag w:val="goog_rdk_0"/>
          <w:id w:val="1449916436"/>
        </w:sdtPr>
        <w:sdtEndPr/>
        <w:sdtContent/>
      </w:sdt>
      <w:sdt>
        <w:sdtPr>
          <w:tag w:val="goog_rdk_1"/>
          <w:id w:val="-52354404"/>
        </w:sdtPr>
        <w:sdtEndPr/>
        <w:sdtContent/>
      </w:sdt>
      <w:sdt>
        <w:sdtPr>
          <w:tag w:val="goog_rdk_2"/>
          <w:id w:val="1641617047"/>
        </w:sdtPr>
        <w:sdtEndPr/>
        <w:sdtContent/>
      </w:sdt>
      <w:r w:rsidRPr="007A180E">
        <w:rPr>
          <w:rFonts w:ascii="Times New Roman" w:eastAsia="Times New Roman" w:hAnsi="Times New Roman" w:cs="Times New Roman"/>
          <w:i/>
          <w:iCs/>
          <w:color w:val="000000"/>
          <w:sz w:val="24"/>
          <w:szCs w:val="24"/>
        </w:rPr>
        <w:t>: Inking the surface may seem fruitless if y</w:t>
      </w:r>
      <w:r w:rsidRPr="007A180E">
        <w:rPr>
          <w:rFonts w:ascii="Times New Roman" w:eastAsia="Times New Roman" w:hAnsi="Times New Roman" w:cs="Times New Roman"/>
          <w:i/>
          <w:iCs/>
          <w:sz w:val="24"/>
          <w:szCs w:val="24"/>
        </w:rPr>
        <w:t>ou see ink running off when you add mordant; however, small tumor deposits are more likely to retain the ink.</w:t>
      </w:r>
    </w:p>
    <w:p w14:paraId="0000000B"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 section the mass. Note the type of contents (</w:t>
      </w:r>
      <w:proofErr w:type="gramStart"/>
      <w:r>
        <w:rPr>
          <w:rFonts w:ascii="Times New Roman" w:eastAsia="Times New Roman" w:hAnsi="Times New Roman" w:cs="Times New Roman"/>
          <w:color w:val="000000"/>
          <w:sz w:val="24"/>
          <w:szCs w:val="24"/>
        </w:rPr>
        <w:t>serous</w:t>
      </w:r>
      <w:proofErr w:type="gramEnd"/>
      <w:r>
        <w:rPr>
          <w:rFonts w:ascii="Times New Roman" w:eastAsia="Times New Roman" w:hAnsi="Times New Roman" w:cs="Times New Roman"/>
          <w:color w:val="000000"/>
          <w:sz w:val="24"/>
          <w:szCs w:val="24"/>
        </w:rPr>
        <w:t xml:space="preserve">, mucinous, purulent, gelatinous, blood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lot, grumous), percentage of solid versus cystic composition, any </w:t>
      </w:r>
      <w:proofErr w:type="spellStart"/>
      <w:r>
        <w:rPr>
          <w:rFonts w:ascii="Times New Roman" w:eastAsia="Times New Roman" w:hAnsi="Times New Roman" w:cs="Times New Roman"/>
          <w:color w:val="000000"/>
          <w:sz w:val="24"/>
          <w:szCs w:val="24"/>
        </w:rPr>
        <w:t>teratomatous</w:t>
      </w:r>
      <w:proofErr w:type="spellEnd"/>
      <w:r>
        <w:rPr>
          <w:rFonts w:ascii="Times New Roman" w:eastAsia="Times New Roman" w:hAnsi="Times New Roman" w:cs="Times New Roman"/>
          <w:color w:val="000000"/>
          <w:sz w:val="24"/>
          <w:szCs w:val="24"/>
        </w:rPr>
        <w:t xml:space="preserve"> elements, hemorrhage, necrosis, </w:t>
      </w:r>
      <w:sdt>
        <w:sdtPr>
          <w:tag w:val="goog_rdk_3"/>
          <w:id w:val="-794060034"/>
        </w:sdtPr>
        <w:sdtEndPr/>
        <w:sdtContent/>
      </w:sdt>
      <w:sdt>
        <w:sdtPr>
          <w:tag w:val="goog_rdk_4"/>
          <w:id w:val="1604310624"/>
        </w:sdtPr>
        <w:sdtEndPr/>
        <w:sdtContent/>
      </w:sdt>
      <w:r>
        <w:rPr>
          <w:rFonts w:ascii="Times New Roman" w:eastAsia="Times New Roman" w:hAnsi="Times New Roman" w:cs="Times New Roman"/>
          <w:color w:val="000000"/>
          <w:sz w:val="24"/>
          <w:szCs w:val="24"/>
        </w:rPr>
        <w:t>papillary excrescences (including what percent of the internal lining is involved), and/or calcifications. Take a photograph.</w:t>
      </w:r>
    </w:p>
    <w:p w14:paraId="0000000C"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Examine the external surface of the associated fallopian tube, residual ovary, and uterus for involvement by tumor (excrescences, nodules, </w:t>
      </w:r>
      <w:proofErr w:type="spellStart"/>
      <w:r>
        <w:rPr>
          <w:rFonts w:ascii="Times New Roman" w:eastAsia="Times New Roman" w:hAnsi="Times New Roman" w:cs="Times New Roman"/>
          <w:color w:val="000000"/>
          <w:sz w:val="24"/>
          <w:szCs w:val="24"/>
        </w:rPr>
        <w:t>papillations</w:t>
      </w:r>
      <w:proofErr w:type="spellEnd"/>
      <w:r>
        <w:rPr>
          <w:rFonts w:ascii="Times New Roman" w:eastAsia="Times New Roman" w:hAnsi="Times New Roman" w:cs="Times New Roman"/>
          <w:color w:val="000000"/>
          <w:sz w:val="24"/>
          <w:szCs w:val="24"/>
        </w:rPr>
        <w:t xml:space="preserve">, etc.). </w:t>
      </w:r>
    </w:p>
    <w:p w14:paraId="0000000D"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describe residual ovary, if present.</w:t>
      </w:r>
    </w:p>
    <w:p w14:paraId="0000000E" w14:textId="77777777" w:rsidR="00CC21E6" w:rsidRDefault="007D4CC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fallopian tube, if present. Document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f the fallopian tube fimbria is subsumed into </w:t>
      </w:r>
      <w:r>
        <w:rPr>
          <w:rFonts w:ascii="Times New Roman" w:eastAsia="Times New Roman" w:hAnsi="Times New Roman" w:cs="Times New Roman"/>
          <w:sz w:val="24"/>
          <w:szCs w:val="24"/>
        </w:rPr>
        <w:t>an adnexal tumor.</w:t>
      </w:r>
    </w:p>
    <w:p w14:paraId="3AD09B8C" w14:textId="77777777" w:rsidR="00F56BC6" w:rsidRDefault="00F56BC6">
      <w:pPr>
        <w:pBdr>
          <w:top w:val="nil"/>
          <w:left w:val="nil"/>
          <w:bottom w:val="nil"/>
          <w:right w:val="nil"/>
          <w:between w:val="nil"/>
        </w:pBdr>
        <w:spacing w:before="280" w:after="0" w:line="240" w:lineRule="auto"/>
        <w:rPr>
          <w:rFonts w:ascii="Arial" w:eastAsia="Arial" w:hAnsi="Arial" w:cs="Arial"/>
          <w:b/>
          <w:bCs/>
          <w:color w:val="000000"/>
          <w:sz w:val="24"/>
          <w:szCs w:val="24"/>
        </w:rPr>
      </w:pPr>
    </w:p>
    <w:p w14:paraId="4E427CCE" w14:textId="77777777" w:rsidR="00F56BC6" w:rsidRDefault="00F56BC6">
      <w:pPr>
        <w:pBdr>
          <w:top w:val="nil"/>
          <w:left w:val="nil"/>
          <w:bottom w:val="nil"/>
          <w:right w:val="nil"/>
          <w:between w:val="nil"/>
        </w:pBdr>
        <w:spacing w:before="280" w:after="0" w:line="240" w:lineRule="auto"/>
        <w:rPr>
          <w:rFonts w:ascii="Arial" w:eastAsia="Arial" w:hAnsi="Arial" w:cs="Arial"/>
          <w:b/>
          <w:bCs/>
          <w:color w:val="000000"/>
          <w:sz w:val="24"/>
          <w:szCs w:val="24"/>
        </w:rPr>
      </w:pPr>
    </w:p>
    <w:p w14:paraId="00000010" w14:textId="6FEC1084" w:rsidR="00CC21E6" w:rsidRDefault="007D4CCC">
      <w:pPr>
        <w:pBdr>
          <w:top w:val="nil"/>
          <w:left w:val="nil"/>
          <w:bottom w:val="nil"/>
          <w:right w:val="nil"/>
          <w:between w:val="nil"/>
        </w:pBdr>
        <w:spacing w:before="280" w:after="0" w:line="240" w:lineRule="auto"/>
        <w:rPr>
          <w:rFonts w:ascii="Arial" w:eastAsia="Arial" w:hAnsi="Arial" w:cs="Arial"/>
          <w:b/>
          <w:bCs/>
          <w:color w:val="000000"/>
          <w:sz w:val="24"/>
          <w:szCs w:val="24"/>
        </w:rPr>
      </w:pPr>
      <w:r>
        <w:rPr>
          <w:rFonts w:ascii="Arial" w:eastAsia="Arial" w:hAnsi="Arial" w:cs="Arial"/>
          <w:b/>
          <w:bCs/>
          <w:color w:val="000000"/>
          <w:sz w:val="24"/>
          <w:szCs w:val="24"/>
        </w:rPr>
        <w:t>Sections</w:t>
      </w:r>
    </w:p>
    <w:p w14:paraId="00000011" w14:textId="77777777" w:rsidR="00CC21E6" w:rsidRDefault="007D4CCC">
      <w:pPr>
        <w:numPr>
          <w:ilvl w:val="0"/>
          <w:numId w:val="2"/>
        </w:numPr>
        <w:pBdr>
          <w:top w:val="nil"/>
          <w:left w:val="nil"/>
          <w:bottom w:val="nil"/>
          <w:right w:val="nil"/>
          <w:between w:val="nil"/>
        </w:pBdr>
        <w:spacing w:before="280" w:after="0" w:line="240" w:lineRule="auto"/>
        <w:rPr>
          <w:rFonts w:ascii="Arial" w:eastAsia="Arial" w:hAnsi="Arial" w:cs="Arial"/>
          <w:b/>
          <w:bCs/>
          <w:color w:val="000000"/>
          <w:sz w:val="24"/>
          <w:szCs w:val="24"/>
        </w:rPr>
      </w:pPr>
      <w:r>
        <w:rPr>
          <w:rFonts w:ascii="Times New Roman" w:eastAsia="Times New Roman" w:hAnsi="Times New Roman" w:cs="Times New Roman"/>
          <w:color w:val="000000"/>
          <w:sz w:val="24"/>
          <w:szCs w:val="24"/>
        </w:rPr>
        <w:t xml:space="preserve">One section of mass for each centimeter of the largest dimension. </w:t>
      </w:r>
      <w:sdt>
        <w:sdtPr>
          <w:tag w:val="goog_rdk_5"/>
          <w:id w:val="-1799819777"/>
        </w:sdtPr>
        <w:sdtEndPr/>
        <w:sdtContent/>
      </w:sdt>
      <w:sdt>
        <w:sdtPr>
          <w:tag w:val="goog_rdk_6"/>
          <w:id w:val="1420341672"/>
        </w:sdtPr>
        <w:sdtEndPr/>
        <w:sdtContent/>
      </w:sdt>
      <w:r>
        <w:rPr>
          <w:rFonts w:ascii="Times New Roman" w:eastAsia="Times New Roman" w:hAnsi="Times New Roman" w:cs="Times New Roman"/>
          <w:color w:val="000000"/>
          <w:sz w:val="24"/>
          <w:szCs w:val="24"/>
        </w:rPr>
        <w:t xml:space="preserve">Concentrate on solid viable areas, areas adjacent to necrosis, </w:t>
      </w:r>
      <w:r w:rsidRPr="007A180E">
        <w:rPr>
          <w:rFonts w:ascii="Times New Roman" w:eastAsia="Times New Roman" w:hAnsi="Times New Roman" w:cs="Times New Roman"/>
          <w:sz w:val="24"/>
          <w:szCs w:val="24"/>
        </w:rPr>
        <w:t xml:space="preserve">areas of tumor to adjacent simple cyst, </w:t>
      </w:r>
      <w:r>
        <w:rPr>
          <w:rFonts w:ascii="Times New Roman" w:eastAsia="Times New Roman" w:hAnsi="Times New Roman" w:cs="Times New Roman"/>
          <w:color w:val="000000"/>
          <w:sz w:val="24"/>
          <w:szCs w:val="24"/>
        </w:rPr>
        <w:t xml:space="preserve">excrescences, and surface nodules or adhesions. </w:t>
      </w:r>
      <w:r w:rsidRPr="007A180E">
        <w:rPr>
          <w:rFonts w:ascii="Times New Roman" w:eastAsia="Times New Roman" w:hAnsi="Times New Roman" w:cs="Times New Roman"/>
          <w:i/>
          <w:iCs/>
          <w:color w:val="000000"/>
          <w:sz w:val="24"/>
          <w:szCs w:val="24"/>
        </w:rPr>
        <w:t>Note</w:t>
      </w:r>
      <w:r w:rsidRPr="007A180E">
        <w:rPr>
          <w:rFonts w:ascii="Times New Roman" w:eastAsia="Times New Roman" w:hAnsi="Times New Roman" w:cs="Times New Roman"/>
          <w:i/>
          <w:iCs/>
          <w:sz w:val="24"/>
          <w:szCs w:val="24"/>
        </w:rPr>
        <w:t xml:space="preserve">: Depending on what initial sections show, submission of additional sections may be necessary (especially for mucinous tumors). Additional fixation time and correlation with initial microscopic findings can improve the yield of these subsequent sections. </w:t>
      </w:r>
    </w:p>
    <w:p w14:paraId="00000012" w14:textId="77777777" w:rsidR="00CC21E6" w:rsidRDefault="007D4CCC">
      <w:pPr>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Pr>
          <w:rFonts w:ascii="Times New Roman" w:eastAsia="Times New Roman" w:hAnsi="Times New Roman" w:cs="Times New Roman"/>
          <w:color w:val="000000"/>
          <w:sz w:val="24"/>
          <w:szCs w:val="24"/>
        </w:rPr>
        <w:t xml:space="preserve">Include sections to normal adjacent tissue, if available. </w:t>
      </w:r>
    </w:p>
    <w:p w14:paraId="00000013" w14:textId="77777777" w:rsidR="00CC21E6" w:rsidRDefault="007D4CCC">
      <w:pPr>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Pr>
          <w:rFonts w:ascii="Times New Roman" w:eastAsia="Times New Roman" w:hAnsi="Times New Roman" w:cs="Times New Roman"/>
          <w:color w:val="000000"/>
          <w:sz w:val="24"/>
          <w:szCs w:val="24"/>
        </w:rPr>
        <w:t>One section of normal ovary, if present.</w:t>
      </w:r>
    </w:p>
    <w:p w14:paraId="00000014" w14:textId="77777777" w:rsidR="00CC21E6" w:rsidRDefault="007D4CCC">
      <w:pPr>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Pr>
          <w:rFonts w:ascii="Times New Roman" w:eastAsia="Times New Roman" w:hAnsi="Times New Roman" w:cs="Times New Roman"/>
          <w:color w:val="000000"/>
          <w:sz w:val="24"/>
          <w:szCs w:val="24"/>
        </w:rPr>
        <w:t xml:space="preserve">One cassette of fallopian tube, if present, to include entire fimbriae. </w:t>
      </w:r>
    </w:p>
    <w:p w14:paraId="00000015"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7"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8"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9"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A"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B"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C"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D"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E"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0000001F" w14:textId="77777777" w:rsidR="00CC21E6" w:rsidRDefault="00CC21E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highlight w:val="white"/>
        </w:rPr>
      </w:pPr>
    </w:p>
    <w:sectPr w:rsidR="00CC21E6">
      <w:headerReference w:type="default" r:id="rId8"/>
      <w:headerReference w:type="first" r:id="rId9"/>
      <w:pgSz w:w="12240" w:h="15840"/>
      <w:pgMar w:top="1133" w:right="1440" w:bottom="1440" w:left="1440" w:header="86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5E65" w14:textId="77777777" w:rsidR="007D4CCC" w:rsidRDefault="007D4CCC">
      <w:pPr>
        <w:spacing w:after="0" w:line="240" w:lineRule="auto"/>
      </w:pPr>
      <w:r>
        <w:separator/>
      </w:r>
    </w:p>
  </w:endnote>
  <w:endnote w:type="continuationSeparator" w:id="0">
    <w:p w14:paraId="67A247E6" w14:textId="77777777" w:rsidR="007D4CCC" w:rsidRDefault="007D4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22F6F7-598A-4354-80DB-292DB11940E4}"/>
    <w:embedBold r:id="rId2" w:fontKey="{768F3AAC-CC9A-4A0B-8BC3-DBAE104C3D46}"/>
  </w:font>
  <w:font w:name="Tahoma">
    <w:panose1 w:val="020B0604030504040204"/>
    <w:charset w:val="00"/>
    <w:family w:val="swiss"/>
    <w:pitch w:val="variable"/>
    <w:sig w:usb0="E1002EFF" w:usb1="C000605B" w:usb2="00000029" w:usb3="00000000" w:csb0="000101FF" w:csb1="00000000"/>
    <w:embedRegular r:id="rId3" w:fontKey="{11DD1F1E-460F-4121-B0EC-61C6085D19BB}"/>
  </w:font>
  <w:font w:name="Georgia">
    <w:panose1 w:val="02040502050405020303"/>
    <w:charset w:val="00"/>
    <w:family w:val="roman"/>
    <w:pitch w:val="variable"/>
    <w:sig w:usb0="00000287" w:usb1="00000000" w:usb2="00000000" w:usb3="00000000" w:csb0="0000009F" w:csb1="00000000"/>
    <w:embedItalic r:id="rId4" w:fontKey="{72F30458-9D6E-4508-AF2D-B1AD6DACCBF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35BF557-4E44-4B8D-BD7C-62E3020E30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2FC0D" w14:textId="77777777" w:rsidR="007D4CCC" w:rsidRDefault="007D4CCC">
      <w:pPr>
        <w:spacing w:after="0" w:line="240" w:lineRule="auto"/>
      </w:pPr>
      <w:r>
        <w:separator/>
      </w:r>
    </w:p>
  </w:footnote>
  <w:footnote w:type="continuationSeparator" w:id="0">
    <w:p w14:paraId="74115549" w14:textId="77777777" w:rsidR="007D4CCC" w:rsidRDefault="007D4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6A8D261F" w:rsidR="00CC21E6" w:rsidRDefault="007D4CCC">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sidR="0076198E">
      <w:rPr>
        <w:rFonts w:ascii="Arial" w:eastAsia="Arial" w:hAnsi="Arial" w:cs="Arial"/>
        <w:noProof/>
        <w:color w:val="000000"/>
        <w:sz w:val="28"/>
        <w:szCs w:val="28"/>
      </w:rPr>
      <w:t>2</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sidR="0076198E">
      <w:rPr>
        <w:rFonts w:ascii="Arial" w:eastAsia="Arial" w:hAnsi="Arial" w:cs="Arial"/>
        <w:noProof/>
        <w:color w:val="000000"/>
        <w:sz w:val="28"/>
        <w:szCs w:val="28"/>
      </w:rPr>
      <w:t>2</w:t>
    </w:r>
    <w:r>
      <w:rPr>
        <w:rFonts w:ascii="Arial" w:eastAsia="Arial" w:hAnsi="Arial" w:cs="Arial"/>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CC21E6" w:rsidRDefault="007D4CCC">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321D2A4B" wp14:editId="23EC3C51">
          <wp:simplePos x="0" y="0"/>
          <wp:positionH relativeFrom="column">
            <wp:posOffset>-625032</wp:posOffset>
          </wp:positionH>
          <wp:positionV relativeFrom="paragraph">
            <wp:posOffset>167182</wp:posOffset>
          </wp:positionV>
          <wp:extent cx="1462177" cy="9144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177" cy="914400"/>
                  </a:xfrm>
                  <a:prstGeom prst="rect">
                    <a:avLst/>
                  </a:prstGeom>
                  <a:ln/>
                </pic:spPr>
              </pic:pic>
            </a:graphicData>
          </a:graphic>
        </wp:anchor>
      </w:drawing>
    </w:r>
  </w:p>
  <w:p w14:paraId="00000022" w14:textId="77777777" w:rsidR="00CC21E6" w:rsidRDefault="00CC21E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23" w14:textId="77777777" w:rsidR="00CC21E6" w:rsidRDefault="007D4CCC">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noProof/>
      </w:rPr>
      <mc:AlternateContent>
        <mc:Choice Requires="wps">
          <w:drawing>
            <wp:anchor distT="0" distB="0" distL="114300" distR="114300" simplePos="0" relativeHeight="251659264" behindDoc="0" locked="0" layoutInCell="1" hidden="0" allowOverlap="1" wp14:anchorId="38D2A453" wp14:editId="03F6E723">
              <wp:simplePos x="0" y="0"/>
              <wp:positionH relativeFrom="column">
                <wp:posOffset>813442</wp:posOffset>
              </wp:positionH>
              <wp:positionV relativeFrom="paragraph">
                <wp:posOffset>136747</wp:posOffset>
              </wp:positionV>
              <wp:extent cx="4365625" cy="811530"/>
              <wp:effectExtent l="0" t="0" r="0" b="0"/>
              <wp:wrapNone/>
              <wp:docPr id="3" name="Rectangle 3"/>
              <wp:cNvGraphicFramePr/>
              <a:graphic xmlns:a="http://schemas.openxmlformats.org/drawingml/2006/main">
                <a:graphicData uri="http://schemas.microsoft.com/office/word/2010/wordprocessingShape">
                  <wps:wsp>
                    <wps:cNvSpPr/>
                    <wps:spPr>
                      <a:xfrm>
                        <a:off x="3167950" y="3378998"/>
                        <a:ext cx="4356100" cy="802005"/>
                      </a:xfrm>
                      <a:prstGeom prst="rect">
                        <a:avLst/>
                      </a:prstGeom>
                      <a:solidFill>
                        <a:schemeClr val="lt1"/>
                      </a:solidFill>
                      <a:ln>
                        <a:noFill/>
                      </a:ln>
                    </wps:spPr>
                    <wps:txbx>
                      <w:txbxContent>
                        <w:p w14:paraId="2F4F9B14" w14:textId="77777777" w:rsidR="00CC21E6" w:rsidRDefault="007D4CCC">
                          <w:pPr>
                            <w:spacing w:after="0" w:line="240" w:lineRule="auto"/>
                            <w:jc w:val="center"/>
                            <w:textDirection w:val="btLr"/>
                          </w:pPr>
                          <w:r>
                            <w:rPr>
                              <w:rFonts w:ascii="Arial" w:eastAsia="Arial" w:hAnsi="Arial" w:cs="Arial"/>
                              <w:b/>
                              <w:color w:val="000000"/>
                              <w:sz w:val="28"/>
                            </w:rPr>
                            <w:t>Department of Pathology-Grossing</w:t>
                          </w:r>
                        </w:p>
                        <w:p w14:paraId="1BFD1A3F" w14:textId="77777777" w:rsidR="00CC21E6" w:rsidRDefault="007D4CCC">
                          <w:pPr>
                            <w:spacing w:line="275" w:lineRule="auto"/>
                            <w:jc w:val="center"/>
                            <w:textDirection w:val="btLr"/>
                          </w:pPr>
                          <w:r>
                            <w:rPr>
                              <w:rFonts w:ascii="Arial" w:eastAsia="Arial" w:hAnsi="Arial" w:cs="Arial"/>
                              <w:color w:val="000000"/>
                              <w:sz w:val="28"/>
                            </w:rPr>
                            <w:t>Ovary-Neoplastic</w:t>
                          </w:r>
                        </w:p>
                        <w:p w14:paraId="57E49D68" w14:textId="77777777" w:rsidR="00CC21E6" w:rsidRDefault="007D4CCC">
                          <w:pPr>
                            <w:spacing w:line="275" w:lineRule="auto"/>
                            <w:jc w:val="center"/>
                            <w:textDirection w:val="btLr"/>
                          </w:pPr>
                          <w:r>
                            <w:rPr>
                              <w:rFonts w:ascii="Arial" w:eastAsia="Arial" w:hAnsi="Arial" w:cs="Arial"/>
                              <w:color w:val="000000"/>
                              <w:sz w:val="16"/>
                            </w:rPr>
                            <w:t xml:space="preserve">Printed Copies are not always </w:t>
                          </w:r>
                          <w:proofErr w:type="gramStart"/>
                          <w:r>
                            <w:rPr>
                              <w:rFonts w:ascii="Arial" w:eastAsia="Arial" w:hAnsi="Arial" w:cs="Arial"/>
                              <w:color w:val="000000"/>
                              <w:sz w:val="16"/>
                            </w:rPr>
                            <w:t>up-to-date</w:t>
                          </w:r>
                          <w:proofErr w:type="gramEnd"/>
                          <w:r>
                            <w:rPr>
                              <w:rFonts w:ascii="Arial" w:eastAsia="Arial" w:hAnsi="Arial" w:cs="Arial"/>
                              <w:color w:val="000000"/>
                              <w:sz w:val="16"/>
                            </w:rPr>
                            <w:t>-See online for current version.</w:t>
                          </w:r>
                        </w:p>
                      </w:txbxContent>
                    </wps:txbx>
                    <wps:bodyPr spcFirstLastPara="1" wrap="square" lIns="91425" tIns="45700" rIns="91425" bIns="45700" anchor="t" anchorCtr="0">
                      <a:noAutofit/>
                    </wps:bodyPr>
                  </wps:wsp>
                </a:graphicData>
              </a:graphic>
            </wp:anchor>
          </w:drawing>
        </mc:Choice>
        <mc:Fallback>
          <w:pict>
            <v:rect w14:anchorId="38D2A453" id="Rectangle 3" o:spid="_x0000_s1026" style="position:absolute;left:0;text-align:left;margin-left:64.05pt;margin-top:10.75pt;width:343.75pt;height:6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" fillcolor="white [3201]" stroked="f">
              <v:textbox inset="2.53958mm,1.2694mm,2.53958mm,1.2694mm">
                <w:txbxContent>
                  <w:p w14:paraId="2F4F9B14" w14:textId="77777777" w:rsidR="00CC21E6" w:rsidRDefault="007D4CCC">
                    <w:pPr>
                      <w:spacing w:after="0" w:line="240" w:lineRule="auto"/>
                      <w:jc w:val="center"/>
                      <w:textDirection w:val="btLr"/>
                    </w:pPr>
                    <w:r>
                      <w:rPr>
                        <w:rFonts w:ascii="Arial" w:eastAsia="Arial" w:hAnsi="Arial" w:cs="Arial"/>
                        <w:b/>
                        <w:color w:val="000000"/>
                        <w:sz w:val="28"/>
                      </w:rPr>
                      <w:t>Department of Pathology-Grossing</w:t>
                    </w:r>
                  </w:p>
                  <w:p w14:paraId="1BFD1A3F" w14:textId="77777777" w:rsidR="00CC21E6" w:rsidRDefault="007D4CCC">
                    <w:pPr>
                      <w:spacing w:line="275" w:lineRule="auto"/>
                      <w:jc w:val="center"/>
                      <w:textDirection w:val="btLr"/>
                    </w:pPr>
                    <w:r>
                      <w:rPr>
                        <w:rFonts w:ascii="Arial" w:eastAsia="Arial" w:hAnsi="Arial" w:cs="Arial"/>
                        <w:color w:val="000000"/>
                        <w:sz w:val="28"/>
                      </w:rPr>
                      <w:t>Ovary-Neoplastic</w:t>
                    </w:r>
                  </w:p>
                  <w:p w14:paraId="57E49D68" w14:textId="77777777" w:rsidR="00CC21E6" w:rsidRDefault="007D4CCC">
                    <w:pPr>
                      <w:spacing w:line="275" w:lineRule="auto"/>
                      <w:jc w:val="center"/>
                      <w:textDirection w:val="btLr"/>
                    </w:pPr>
                    <w:r>
                      <w:rPr>
                        <w:rFonts w:ascii="Arial" w:eastAsia="Arial" w:hAnsi="Arial" w:cs="Arial"/>
                        <w:color w:val="000000"/>
                        <w:sz w:val="16"/>
                      </w:rPr>
                      <w:t xml:space="preserve">Printed Copies are not always </w:t>
                    </w:r>
                    <w:proofErr w:type="gramStart"/>
                    <w:r>
                      <w:rPr>
                        <w:rFonts w:ascii="Arial" w:eastAsia="Arial" w:hAnsi="Arial" w:cs="Arial"/>
                        <w:color w:val="000000"/>
                        <w:sz w:val="16"/>
                      </w:rPr>
                      <w:t>up-to-date</w:t>
                    </w:r>
                    <w:proofErr w:type="gramEnd"/>
                    <w:r>
                      <w:rPr>
                        <w:rFonts w:ascii="Arial" w:eastAsia="Arial" w:hAnsi="Arial" w:cs="Arial"/>
                        <w:color w:val="000000"/>
                        <w:sz w:val="16"/>
                      </w:rPr>
                      <w:t>-See online for current version.</w:t>
                    </w:r>
                  </w:p>
                </w:txbxContent>
              </v:textbox>
            </v:rect>
          </w:pict>
        </mc:Fallback>
      </mc:AlternateContent>
    </w:r>
  </w:p>
  <w:p w14:paraId="00000024" w14:textId="77777777" w:rsidR="00CC21E6" w:rsidRDefault="00CC21E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25" w14:textId="77777777" w:rsidR="00CC21E6" w:rsidRDefault="00CC21E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26" w14:textId="77777777" w:rsidR="00CC21E6" w:rsidRDefault="00CC21E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27" w14:textId="77777777" w:rsidR="00CC21E6" w:rsidRDefault="00CC21E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28" w14:textId="7BA4702D" w:rsidR="00CC21E6" w:rsidRDefault="007D4CCC">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rFonts w:ascii="Arial" w:eastAsia="Arial" w:hAnsi="Arial" w:cs="Arial"/>
        <w:color w:val="000000"/>
        <w:sz w:val="28"/>
        <w:szCs w:val="28"/>
      </w:rPr>
    </w:pPr>
    <w:r>
      <w:rPr>
        <w:color w:val="000000"/>
      </w:rPr>
      <w:tab/>
    </w:r>
    <w:r>
      <w:rPr>
        <w:color w:val="000000"/>
      </w:rPr>
      <w:tab/>
    </w:r>
    <w:r>
      <w:rPr>
        <w:color w:val="000000"/>
      </w:rPr>
      <w:tab/>
    </w:r>
    <w:r>
      <w:rPr>
        <w:color w:val="000000"/>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sidR="0076198E">
      <w:rPr>
        <w:rFonts w:ascii="Arial" w:eastAsia="Arial" w:hAnsi="Arial" w:cs="Arial"/>
        <w:noProof/>
        <w:color w:val="000000"/>
        <w:sz w:val="28"/>
        <w:szCs w:val="28"/>
      </w:rPr>
      <w:t>1</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sidR="0076198E">
      <w:rPr>
        <w:rFonts w:ascii="Arial" w:eastAsia="Arial" w:hAnsi="Arial" w:cs="Arial"/>
        <w:noProof/>
        <w:color w:val="000000"/>
        <w:sz w:val="28"/>
        <w:szCs w:val="28"/>
      </w:rPr>
      <w:t>2</w:t>
    </w:r>
    <w:r>
      <w:rPr>
        <w:rFonts w:ascii="Arial" w:eastAsia="Arial" w:hAnsi="Arial" w:cs="Arial"/>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30978"/>
    <w:multiLevelType w:val="multilevel"/>
    <w:tmpl w:val="CD1C2F36"/>
    <w:lvl w:ilvl="0">
      <w:start w:val="1"/>
      <w:numFmt w:val="decimal"/>
      <w:lvlText w:val="%1."/>
      <w:lvlJc w:val="left"/>
      <w:pPr>
        <w:ind w:left="720" w:hanging="360"/>
      </w:pPr>
      <w:rPr>
        <w:rFonts w:ascii="Times New Roman" w:eastAsia="Times New Roman" w:hAnsi="Times New Roman" w:cs="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D45382"/>
    <w:multiLevelType w:val="multilevel"/>
    <w:tmpl w:val="C7A8F420"/>
    <w:lvl w:ilvl="0">
      <w:start w:val="1"/>
      <w:numFmt w:val="decimal"/>
      <w:lvlText w:val="%1."/>
      <w:lvlJc w:val="left"/>
      <w:pPr>
        <w:ind w:left="360" w:hanging="360"/>
      </w:pPr>
      <w:rPr>
        <w:rFonts w:ascii="Times New Roman" w:eastAsia="Times New Roman" w:hAnsi="Times New Roman" w:cs="Times New Roman"/>
        <w:b w:val="0"/>
        <w:bCs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59035847">
    <w:abstractNumId w:val="1"/>
  </w:num>
  <w:num w:numId="2" w16cid:durableId="129605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E6"/>
    <w:rsid w:val="001466AE"/>
    <w:rsid w:val="002F385F"/>
    <w:rsid w:val="0076198E"/>
    <w:rsid w:val="007A180E"/>
    <w:rsid w:val="007D4CCC"/>
    <w:rsid w:val="00CC21E6"/>
    <w:rsid w:val="00F56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DC9A3"/>
  <w15:docId w15:val="{89DD9FB1-A104-4903-B3F2-89A6839B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Nz5cSBk+qqEl4AfSTt08G4zWQ==">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353</Words>
  <Characters>2034</Characters>
  <Application>Microsoft Office Word</Application>
  <DocSecurity>4</DocSecurity>
  <Lines>47</Lines>
  <Paragraphs>21</Paragraphs>
  <ScaleCrop>false</ScaleCrop>
  <Company>Michigan Medicine</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2</cp:revision>
  <dcterms:created xsi:type="dcterms:W3CDTF">2026-01-22T22:50:00Z</dcterms:created>
  <dcterms:modified xsi:type="dcterms:W3CDTF">2026-01-22T22:50:00Z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property>
  <property fmtid="{D5CDD505-2E9C-101B-9397-08002B2CF9AE}" pid="3" name="MC_Number">
    <vt:lpwstr/>
  </property>
  <property fmtid="{D5CDD505-2E9C-101B-9397-08002B2CF9AE}" pid="4" name="MC_Revision">
    <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s">
    <vt:lpwstr/>
  </property>
  <property fmtid="{D5CDD505-2E9C-101B-9397-08002B2CF9AE}" pid="9" name="MC_Status">
    <vt:lpwstr/>
  </property>
  <property fmtid="{D5CDD505-2E9C-101B-9397-08002B2CF9AE}" pid="10" name="MC_Created Date">
    <vt:lpwstr/>
  </property>
  <property fmtid="{D5CDD505-2E9C-101B-9397-08002B2CF9AE}" pid="11" name="MC_Effective Date">
    <vt:lpwstr/>
  </property>
  <property fmtid="{D5CDD505-2E9C-101B-9397-08002B2CF9AE}" pid="12" name="MC_Expiration Date">
    <vt:lpwstr/>
  </property>
  <property fmtid="{D5CDD505-2E9C-101B-9397-08002B2CF9AE}" pid="13" name="MC_Release Date">
    <vt:lpwstr/>
  </property>
  <property fmtid="{D5CDD505-2E9C-101B-9397-08002B2CF9AE}" pid="14" name="MC_Next Review Date">
    <vt:lpwstr/>
  </property>
  <property fmtid="{D5CDD505-2E9C-101B-9397-08002B2CF9AE}" pid="15" name="MC_CF_Custom Fields">
    <vt:lpwstr/>
  </property>
</Properties>
</file>